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29CD3" w14:textId="0C700F9B" w:rsidR="00F262EC" w:rsidRDefault="00F262EC" w:rsidP="00F262EC">
      <w:pPr>
        <w:rPr>
          <w:rFonts w:asciiTheme="minorHAnsi" w:hAnsiTheme="minorHAnsi" w:cstheme="minorHAnsi"/>
          <w:b/>
          <w:bCs/>
        </w:rPr>
      </w:pPr>
      <w:r w:rsidRPr="000933BE">
        <w:rPr>
          <w:rFonts w:asciiTheme="minorHAnsi" w:hAnsiTheme="minorHAnsi" w:cstheme="minorHAnsi"/>
          <w:b/>
          <w:bCs/>
        </w:rPr>
        <w:t xml:space="preserve">Urgent need to increase the rates of diagnosing, </w:t>
      </w:r>
      <w:proofErr w:type="gramStart"/>
      <w:r w:rsidRPr="000933BE">
        <w:rPr>
          <w:rFonts w:asciiTheme="minorHAnsi" w:hAnsiTheme="minorHAnsi" w:cstheme="minorHAnsi"/>
          <w:b/>
          <w:bCs/>
        </w:rPr>
        <w:t>treating</w:t>
      </w:r>
      <w:proofErr w:type="gramEnd"/>
      <w:r w:rsidRPr="000933BE">
        <w:rPr>
          <w:rFonts w:asciiTheme="minorHAnsi" w:hAnsiTheme="minorHAnsi" w:cstheme="minorHAnsi"/>
          <w:b/>
          <w:bCs/>
        </w:rPr>
        <w:t xml:space="preserve"> and controlling hypertension in older women. A call for all levels of government, health professional associations, health charities and clinicians to reengage and to </w:t>
      </w:r>
      <w:proofErr w:type="gramStart"/>
      <w:r w:rsidRPr="000933BE">
        <w:rPr>
          <w:rFonts w:asciiTheme="minorHAnsi" w:hAnsiTheme="minorHAnsi" w:cstheme="minorHAnsi"/>
          <w:b/>
          <w:bCs/>
        </w:rPr>
        <w:t>take action</w:t>
      </w:r>
      <w:proofErr w:type="gramEnd"/>
      <w:r w:rsidRPr="000933BE">
        <w:rPr>
          <w:rFonts w:asciiTheme="minorHAnsi" w:hAnsiTheme="minorHAnsi" w:cstheme="minorHAnsi"/>
          <w:b/>
          <w:bCs/>
        </w:rPr>
        <w:t>.</w:t>
      </w:r>
    </w:p>
    <w:p w14:paraId="42135924" w14:textId="7B4F9DE1" w:rsidR="00414347" w:rsidRPr="0034306B" w:rsidRDefault="00414347" w:rsidP="00F262EC">
      <w:pPr>
        <w:rPr>
          <w:rFonts w:asciiTheme="minorHAnsi" w:hAnsiTheme="minorHAnsi" w:cstheme="minorHAnsi"/>
          <w:sz w:val="20"/>
          <w:szCs w:val="20"/>
        </w:rPr>
      </w:pPr>
    </w:p>
    <w:p w14:paraId="37412FE3" w14:textId="15347189" w:rsidR="0034306B" w:rsidRDefault="0034306B" w:rsidP="0034306B">
      <w:pPr>
        <w:rPr>
          <w:rFonts w:eastAsia="Times New Roman"/>
          <w:lang w:val="en-US"/>
        </w:rPr>
      </w:pPr>
      <w:r w:rsidRPr="0034306B">
        <w:rPr>
          <w:rFonts w:ascii="Arial" w:hAnsi="Arial" w:cs="Arial"/>
          <w:sz w:val="20"/>
          <w:szCs w:val="20"/>
        </w:rPr>
        <w:t xml:space="preserve">Supported by </w:t>
      </w:r>
      <w:r w:rsidR="005069B9">
        <w:rPr>
          <w:rFonts w:ascii="Arial" w:hAnsi="Arial" w:cs="Arial"/>
          <w:sz w:val="20"/>
          <w:szCs w:val="20"/>
        </w:rPr>
        <w:t xml:space="preserve">the </w:t>
      </w:r>
      <w:r w:rsidR="005069B9" w:rsidRPr="0034306B">
        <w:rPr>
          <w:rFonts w:ascii="Arial" w:eastAsia="Times New Roman" w:hAnsi="Arial" w:cs="Arial"/>
          <w:sz w:val="20"/>
          <w:szCs w:val="20"/>
        </w:rPr>
        <w:t xml:space="preserve">Nurse Practitioner Association of </w:t>
      </w:r>
      <w:r w:rsidR="005069B9">
        <w:rPr>
          <w:rFonts w:ascii="Arial" w:eastAsia="Times New Roman" w:hAnsi="Arial" w:cs="Arial"/>
          <w:sz w:val="20"/>
          <w:szCs w:val="20"/>
        </w:rPr>
        <w:t>Canada</w:t>
      </w:r>
      <w:r w:rsidR="005069B9">
        <w:rPr>
          <w:rFonts w:ascii="Arial" w:eastAsia="Times New Roman" w:hAnsi="Arial" w:cs="Arial"/>
          <w:sz w:val="20"/>
          <w:szCs w:val="20"/>
        </w:rPr>
        <w:t xml:space="preserve">, </w:t>
      </w:r>
      <w:r w:rsidR="005069B9" w:rsidRPr="0034306B">
        <w:rPr>
          <w:rFonts w:ascii="Arial" w:eastAsia="Times New Roman" w:hAnsi="Arial" w:cs="Arial"/>
          <w:sz w:val="20"/>
          <w:szCs w:val="20"/>
        </w:rPr>
        <w:t>Nurse Practitioner Association of Alberta</w:t>
      </w:r>
      <w:r w:rsidR="005069B9" w:rsidRPr="0034306B">
        <w:rPr>
          <w:rFonts w:ascii="Arial" w:hAnsi="Arial" w:cs="Arial"/>
          <w:sz w:val="20"/>
          <w:szCs w:val="20"/>
        </w:rPr>
        <w:t xml:space="preserve"> </w:t>
      </w:r>
      <w:r w:rsidRPr="0034306B">
        <w:rPr>
          <w:rFonts w:ascii="Arial" w:hAnsi="Arial" w:cs="Arial"/>
          <w:sz w:val="20"/>
          <w:szCs w:val="20"/>
        </w:rPr>
        <w:t>Hypertension Canada, the Heart and Stroke Foundation of Canada, Canadian Pharmacists Association,</w:t>
      </w:r>
      <w:r w:rsidR="005069B9">
        <w:rPr>
          <w:rFonts w:ascii="Arial" w:hAnsi="Arial" w:cs="Arial"/>
          <w:sz w:val="20"/>
          <w:szCs w:val="20"/>
        </w:rPr>
        <w:t xml:space="preserve"> and</w:t>
      </w:r>
      <w:r w:rsidRPr="0034306B">
        <w:rPr>
          <w:rFonts w:ascii="Arial" w:hAnsi="Arial" w:cs="Arial"/>
          <w:sz w:val="20"/>
          <w:szCs w:val="20"/>
        </w:rPr>
        <w:t xml:space="preserve"> College of Family College of </w:t>
      </w:r>
      <w:proofErr w:type="gramStart"/>
      <w:r w:rsidRPr="0034306B">
        <w:rPr>
          <w:rFonts w:ascii="Arial" w:hAnsi="Arial" w:cs="Arial"/>
          <w:sz w:val="20"/>
          <w:szCs w:val="20"/>
        </w:rPr>
        <w:t>Canada</w:t>
      </w:r>
      <w:r w:rsidR="007B33E1">
        <w:rPr>
          <w:rFonts w:ascii="Arial" w:hAnsi="Arial" w:cs="Arial"/>
          <w:sz w:val="20"/>
          <w:szCs w:val="20"/>
        </w:rPr>
        <w:t>,</w:t>
      </w:r>
      <w:r w:rsidRPr="0034306B">
        <w:rPr>
          <w:rFonts w:ascii="Arial" w:eastAsia="Times New Roman" w:hAnsi="Arial" w:cs="Arial"/>
          <w:sz w:val="20"/>
          <w:szCs w:val="20"/>
        </w:rPr>
        <w:t>.</w:t>
      </w:r>
      <w:proofErr w:type="gramEnd"/>
      <w:r w:rsidRPr="0034306B">
        <w:rPr>
          <w:rFonts w:ascii="Arial" w:eastAsia="Times New Roman" w:hAnsi="Arial" w:cs="Arial"/>
          <w:sz w:val="20"/>
          <w:szCs w:val="20"/>
        </w:rPr>
        <w:t xml:space="preserve"> A longer version is supported by </w:t>
      </w:r>
      <w:r w:rsidRPr="0034306B">
        <w:rPr>
          <w:rFonts w:ascii="Arial" w:hAnsi="Arial" w:cs="Arial"/>
          <w:sz w:val="20"/>
          <w:szCs w:val="20"/>
        </w:rPr>
        <w:t>the Canadian Nursing Association</w:t>
      </w:r>
    </w:p>
    <w:p w14:paraId="256E32EC" w14:textId="60A50F1A" w:rsidR="00414347" w:rsidRPr="000933BE" w:rsidRDefault="00414347" w:rsidP="00414347">
      <w:pPr>
        <w:rPr>
          <w:rFonts w:asciiTheme="minorHAnsi" w:hAnsiTheme="minorHAnsi" w:cstheme="minorHAnsi"/>
          <w:b/>
          <w:bCs/>
        </w:rPr>
      </w:pPr>
      <w:r w:rsidRPr="00414347">
        <w:rPr>
          <w:rFonts w:asciiTheme="minorHAnsi" w:hAnsiTheme="minorHAnsi" w:cstheme="minorHAnsi"/>
          <w:b/>
          <w:bCs/>
          <w:highlight w:val="cyan"/>
        </w:rPr>
        <w:t xml:space="preserve"> </w:t>
      </w:r>
    </w:p>
    <w:p w14:paraId="7929BCA3" w14:textId="5A511E7A" w:rsidR="007F2C03" w:rsidRPr="00F22F79" w:rsidRDefault="00691836" w:rsidP="00691836">
      <w:pPr>
        <w:rPr>
          <w:rFonts w:asciiTheme="minorHAnsi" w:hAnsiTheme="minorHAnsi" w:cstheme="minorHAnsi"/>
        </w:rPr>
      </w:pPr>
      <w:r w:rsidRPr="00F22F79">
        <w:rPr>
          <w:rFonts w:asciiTheme="minorHAnsi" w:hAnsiTheme="minorHAnsi" w:cstheme="minorHAnsi"/>
        </w:rPr>
        <w:t>Increased blood pressure is a leading risk for death and disability</w:t>
      </w:r>
      <w:r w:rsidR="007F2C03" w:rsidRPr="00F22F79">
        <w:rPr>
          <w:rFonts w:asciiTheme="minorHAnsi" w:hAnsiTheme="minorHAnsi" w:cstheme="minorHAnsi"/>
        </w:rPr>
        <w:t>,</w:t>
      </w:r>
      <w:r w:rsidRPr="00F22F79">
        <w:rPr>
          <w:rFonts w:asciiTheme="minorHAnsi" w:hAnsiTheme="minorHAnsi" w:cstheme="minorHAnsi"/>
        </w:rPr>
        <w:t xml:space="preserve"> and th</w:t>
      </w:r>
      <w:r w:rsidR="007F2C03" w:rsidRPr="00F22F79">
        <w:rPr>
          <w:rFonts w:asciiTheme="minorHAnsi" w:hAnsiTheme="minorHAnsi" w:cstheme="minorHAnsi"/>
        </w:rPr>
        <w:t>is</w:t>
      </w:r>
      <w:r w:rsidRPr="00F22F79">
        <w:rPr>
          <w:rFonts w:asciiTheme="minorHAnsi" w:hAnsiTheme="minorHAnsi" w:cstheme="minorHAnsi"/>
        </w:rPr>
        <w:t xml:space="preserve"> risk increases with age. Controlling hypertension is one of the most effective means to reduce death and disability especially, in those at higher risk.  Unfortunately, in Canada, the rates of diagnosing, </w:t>
      </w:r>
      <w:proofErr w:type="gramStart"/>
      <w:r w:rsidRPr="00F22F79">
        <w:rPr>
          <w:rFonts w:asciiTheme="minorHAnsi" w:hAnsiTheme="minorHAnsi" w:cstheme="minorHAnsi"/>
        </w:rPr>
        <w:t>treating</w:t>
      </w:r>
      <w:proofErr w:type="gramEnd"/>
      <w:r w:rsidRPr="00F22F79">
        <w:rPr>
          <w:rFonts w:asciiTheme="minorHAnsi" w:hAnsiTheme="minorHAnsi" w:cstheme="minorHAnsi"/>
        </w:rPr>
        <w:t xml:space="preserve"> and controlling hypertension in older women (</w:t>
      </w:r>
      <w:r w:rsidR="00326158" w:rsidRPr="00F22F79">
        <w:rPr>
          <w:rFonts w:asciiTheme="minorHAnsi" w:hAnsiTheme="minorHAnsi" w:cstheme="minorHAnsi"/>
        </w:rPr>
        <w:t xml:space="preserve">e.g. </w:t>
      </w:r>
      <w:r w:rsidRPr="00F22F79">
        <w:rPr>
          <w:rFonts w:asciiTheme="minorHAnsi" w:hAnsiTheme="minorHAnsi" w:cstheme="minorHAnsi"/>
        </w:rPr>
        <w:t xml:space="preserve">age </w:t>
      </w:r>
      <w:r w:rsidRPr="00F22F79">
        <w:rPr>
          <w:rFonts w:asciiTheme="minorHAnsi" w:hAnsiTheme="minorHAnsi" w:cstheme="minorHAnsi"/>
          <w:u w:val="single"/>
        </w:rPr>
        <w:t>&gt;</w:t>
      </w:r>
      <w:r w:rsidRPr="00F22F79">
        <w:rPr>
          <w:rFonts w:asciiTheme="minorHAnsi" w:hAnsiTheme="minorHAnsi" w:cstheme="minorHAnsi"/>
        </w:rPr>
        <w:t xml:space="preserve"> </w:t>
      </w:r>
      <w:r w:rsidR="00326158" w:rsidRPr="00F22F79">
        <w:rPr>
          <w:rFonts w:asciiTheme="minorHAnsi" w:hAnsiTheme="minorHAnsi" w:cstheme="minorHAnsi"/>
        </w:rPr>
        <w:t>6</w:t>
      </w:r>
      <w:r w:rsidRPr="00F22F79">
        <w:rPr>
          <w:rFonts w:asciiTheme="minorHAnsi" w:hAnsiTheme="minorHAnsi" w:cstheme="minorHAnsi"/>
        </w:rPr>
        <w:t xml:space="preserve">0 years) have been decreasing for almost a decade </w:t>
      </w:r>
      <w:r w:rsidR="002C73BB" w:rsidRPr="00F22F79">
        <w:rPr>
          <w:rFonts w:asciiTheme="minorHAnsi" w:hAnsiTheme="minorHAnsi" w:cstheme="minorHAnsi"/>
        </w:rPr>
        <w:t xml:space="preserve">with a corresponding increase in </w:t>
      </w:r>
      <w:r w:rsidRPr="00F22F79">
        <w:rPr>
          <w:rFonts w:asciiTheme="minorHAnsi" w:hAnsiTheme="minorHAnsi" w:cstheme="minorHAnsi"/>
        </w:rPr>
        <w:t>the rates of cardiovascular death</w:t>
      </w:r>
      <w:r w:rsidR="0079146B">
        <w:rPr>
          <w:rFonts w:asciiTheme="minorHAnsi" w:hAnsiTheme="minorHAnsi" w:cstheme="minorHAnsi"/>
        </w:rPr>
        <w:t xml:space="preserve"> and disability (figures)</w:t>
      </w:r>
      <w:r w:rsidRPr="00F22F79">
        <w:rPr>
          <w:rFonts w:asciiTheme="minorHAnsi" w:hAnsiTheme="minorHAnsi" w:cstheme="minorHAnsi"/>
        </w:rPr>
        <w:t>.  Cardiovascular disease is highly preventable through adoption of best clinical practices</w:t>
      </w:r>
      <w:r w:rsidR="00D51EBE" w:rsidRPr="00F22F79">
        <w:rPr>
          <w:rFonts w:asciiTheme="minorHAnsi" w:hAnsiTheme="minorHAnsi" w:cstheme="minorHAnsi"/>
        </w:rPr>
        <w:t>.</w:t>
      </w:r>
      <w:r w:rsidR="00081858" w:rsidRPr="00F22F79">
        <w:rPr>
          <w:rFonts w:asciiTheme="minorHAnsi" w:hAnsiTheme="minorHAnsi" w:cstheme="minorHAnsi"/>
        </w:rPr>
        <w:t xml:space="preserve"> </w:t>
      </w:r>
    </w:p>
    <w:p w14:paraId="78D8795E" w14:textId="1A4492FF" w:rsidR="007F2C03" w:rsidRPr="00F22F79" w:rsidRDefault="007F2C03" w:rsidP="00691836">
      <w:pPr>
        <w:rPr>
          <w:rFonts w:asciiTheme="minorHAnsi" w:hAnsiTheme="minorHAnsi" w:cstheme="minorHAnsi"/>
        </w:rPr>
      </w:pPr>
      <w:r w:rsidRPr="00F22F79">
        <w:rPr>
          <w:rFonts w:asciiTheme="minorHAnsi" w:hAnsiTheme="minorHAnsi" w:cstheme="minorHAnsi"/>
        </w:rPr>
        <w:t xml:space="preserve">1. </w:t>
      </w:r>
      <w:r w:rsidR="00946C1C" w:rsidRPr="00F22F79">
        <w:rPr>
          <w:rFonts w:asciiTheme="minorHAnsi" w:hAnsiTheme="minorHAnsi" w:cstheme="minorHAnsi"/>
        </w:rPr>
        <w:t>Correctly m</w:t>
      </w:r>
      <w:r w:rsidR="00691836" w:rsidRPr="00F22F79">
        <w:rPr>
          <w:rFonts w:asciiTheme="minorHAnsi" w:hAnsiTheme="minorHAnsi" w:cstheme="minorHAnsi"/>
        </w:rPr>
        <w:t>easure blood pressure routinely in all adults and especially older women</w:t>
      </w:r>
      <w:r w:rsidR="00BD6F24">
        <w:rPr>
          <w:rFonts w:asciiTheme="minorHAnsi" w:hAnsiTheme="minorHAnsi" w:cstheme="minorHAnsi"/>
        </w:rPr>
        <w:t>.</w:t>
      </w:r>
    </w:p>
    <w:p w14:paraId="66307D02" w14:textId="6AF927A2" w:rsidR="007F2C03" w:rsidRPr="00F22F79" w:rsidRDefault="007F2C03" w:rsidP="00691836">
      <w:pPr>
        <w:rPr>
          <w:rFonts w:asciiTheme="minorHAnsi" w:hAnsiTheme="minorHAnsi" w:cstheme="minorHAnsi"/>
        </w:rPr>
      </w:pPr>
      <w:r w:rsidRPr="00F22F79">
        <w:rPr>
          <w:rFonts w:asciiTheme="minorHAnsi" w:hAnsiTheme="minorHAnsi" w:cstheme="minorHAnsi"/>
        </w:rPr>
        <w:t>2.</w:t>
      </w:r>
      <w:r w:rsidR="00691836" w:rsidRPr="00F22F79">
        <w:rPr>
          <w:rFonts w:asciiTheme="minorHAnsi" w:hAnsiTheme="minorHAnsi" w:cstheme="minorHAnsi"/>
        </w:rPr>
        <w:t xml:space="preserve"> </w:t>
      </w:r>
      <w:r w:rsidRPr="00F22F79">
        <w:rPr>
          <w:rFonts w:asciiTheme="minorHAnsi" w:hAnsiTheme="minorHAnsi" w:cstheme="minorHAnsi"/>
        </w:rPr>
        <w:t>T</w:t>
      </w:r>
      <w:r w:rsidR="00691836" w:rsidRPr="00F22F79">
        <w:rPr>
          <w:rFonts w:asciiTheme="minorHAnsi" w:hAnsiTheme="minorHAnsi" w:cstheme="minorHAnsi"/>
        </w:rPr>
        <w:t xml:space="preserve">reat people with hypertension with antihypertensive drugs to achieve control. </w:t>
      </w:r>
    </w:p>
    <w:p w14:paraId="395A8686" w14:textId="6E04F5A0" w:rsidR="00D2714B" w:rsidRPr="00F22F79" w:rsidRDefault="007F2C03" w:rsidP="00691836">
      <w:pPr>
        <w:rPr>
          <w:rFonts w:asciiTheme="minorHAnsi" w:hAnsiTheme="minorHAnsi" w:cstheme="minorHAnsi"/>
        </w:rPr>
      </w:pPr>
      <w:r w:rsidRPr="00F22F79">
        <w:rPr>
          <w:rFonts w:asciiTheme="minorHAnsi" w:hAnsiTheme="minorHAnsi" w:cstheme="minorHAnsi"/>
        </w:rPr>
        <w:t xml:space="preserve">3. </w:t>
      </w:r>
      <w:r w:rsidR="002C73BB" w:rsidRPr="00F22F79">
        <w:rPr>
          <w:rFonts w:asciiTheme="minorHAnsi" w:hAnsiTheme="minorHAnsi" w:cstheme="minorHAnsi"/>
        </w:rPr>
        <w:t xml:space="preserve">Consider initiating treatment at a systolic blood pressure of </w:t>
      </w:r>
      <w:r w:rsidR="002C73BB" w:rsidRPr="00F22F79">
        <w:rPr>
          <w:rFonts w:asciiTheme="minorHAnsi" w:hAnsiTheme="minorHAnsi" w:cstheme="minorHAnsi"/>
          <w:u w:val="single"/>
        </w:rPr>
        <w:t>&gt;</w:t>
      </w:r>
      <w:r w:rsidR="002C73BB" w:rsidRPr="00F22F79">
        <w:rPr>
          <w:rFonts w:asciiTheme="minorHAnsi" w:hAnsiTheme="minorHAnsi" w:cstheme="minorHAnsi"/>
        </w:rPr>
        <w:t xml:space="preserve"> 130</w:t>
      </w:r>
      <w:r w:rsidR="00765B0C">
        <w:rPr>
          <w:rFonts w:asciiTheme="minorHAnsi" w:hAnsiTheme="minorHAnsi" w:cstheme="minorHAnsi"/>
        </w:rPr>
        <w:t xml:space="preserve"> </w:t>
      </w:r>
      <w:r w:rsidR="002C73BB" w:rsidRPr="00F22F79">
        <w:rPr>
          <w:rFonts w:asciiTheme="minorHAnsi" w:hAnsiTheme="minorHAnsi" w:cstheme="minorHAnsi"/>
        </w:rPr>
        <w:t xml:space="preserve">mmHg and lowering the systolic blood pressure to </w:t>
      </w:r>
      <w:r w:rsidR="002C73BB" w:rsidRPr="00F22F79">
        <w:rPr>
          <w:rFonts w:asciiTheme="minorHAnsi" w:hAnsiTheme="minorHAnsi" w:cstheme="minorHAnsi"/>
          <w:u w:val="single"/>
        </w:rPr>
        <w:t>&lt;</w:t>
      </w:r>
      <w:r w:rsidR="002C73BB" w:rsidRPr="00F22F79">
        <w:rPr>
          <w:rFonts w:asciiTheme="minorHAnsi" w:hAnsiTheme="minorHAnsi" w:cstheme="minorHAnsi"/>
        </w:rPr>
        <w:t xml:space="preserve"> 120 mm Hg i</w:t>
      </w:r>
      <w:r w:rsidR="00691836" w:rsidRPr="00F22F79">
        <w:rPr>
          <w:rFonts w:asciiTheme="minorHAnsi" w:hAnsiTheme="minorHAnsi" w:cstheme="minorHAnsi"/>
        </w:rPr>
        <w:t>n those at high cardiovascular risk (e.g.</w:t>
      </w:r>
      <w:r w:rsidRPr="00F22F79">
        <w:rPr>
          <w:rFonts w:asciiTheme="minorHAnsi" w:hAnsiTheme="minorHAnsi" w:cstheme="minorHAnsi"/>
        </w:rPr>
        <w:t>,</w:t>
      </w:r>
      <w:r w:rsidR="00691836" w:rsidRPr="00F22F79">
        <w:rPr>
          <w:rFonts w:asciiTheme="minorHAnsi" w:hAnsiTheme="minorHAnsi" w:cstheme="minorHAnsi"/>
        </w:rPr>
        <w:t xml:space="preserve"> Framingham risk score of </w:t>
      </w:r>
      <w:r w:rsidR="00691836" w:rsidRPr="00F22F79">
        <w:rPr>
          <w:rFonts w:asciiTheme="minorHAnsi" w:hAnsiTheme="minorHAnsi" w:cstheme="minorHAnsi"/>
          <w:u w:val="single"/>
        </w:rPr>
        <w:t>&gt;</w:t>
      </w:r>
      <w:r w:rsidR="00691836" w:rsidRPr="00F22F79">
        <w:rPr>
          <w:rFonts w:asciiTheme="minorHAnsi" w:hAnsiTheme="minorHAnsi" w:cstheme="minorHAnsi"/>
        </w:rPr>
        <w:t xml:space="preserve"> 15%, or men or women aged 75 years or higher), to optimize risk </w:t>
      </w:r>
      <w:r w:rsidR="00326158" w:rsidRPr="00F22F79">
        <w:rPr>
          <w:rFonts w:asciiTheme="minorHAnsi" w:hAnsiTheme="minorHAnsi" w:cstheme="minorHAnsi"/>
        </w:rPr>
        <w:t>reduction</w:t>
      </w:r>
      <w:r w:rsidR="00D2714B" w:rsidRPr="00F22F79">
        <w:rPr>
          <w:rFonts w:asciiTheme="minorHAnsi" w:hAnsiTheme="minorHAnsi" w:cstheme="minorHAnsi"/>
        </w:rPr>
        <w:t xml:space="preserve">.  Persons with diabetes should have </w:t>
      </w:r>
      <w:r w:rsidR="00BD72A1">
        <w:rPr>
          <w:rFonts w:asciiTheme="minorHAnsi" w:hAnsiTheme="minorHAnsi" w:cstheme="minorHAnsi"/>
        </w:rPr>
        <w:t xml:space="preserve">a </w:t>
      </w:r>
      <w:r w:rsidR="00D2714B" w:rsidRPr="00F22F79">
        <w:rPr>
          <w:rFonts w:asciiTheme="minorHAnsi" w:hAnsiTheme="minorHAnsi" w:cstheme="minorHAnsi"/>
        </w:rPr>
        <w:t>blood pressure treatment threshold of 130/80 mm Hg</w:t>
      </w:r>
      <w:r w:rsidR="00AE303B">
        <w:rPr>
          <w:rFonts w:asciiTheme="minorHAnsi" w:hAnsiTheme="minorHAnsi" w:cstheme="minorHAnsi"/>
        </w:rPr>
        <w:t xml:space="preserve"> and target of </w:t>
      </w:r>
      <w:r w:rsidR="00AE303B" w:rsidRPr="00AE303B">
        <w:rPr>
          <w:rFonts w:asciiTheme="minorHAnsi" w:hAnsiTheme="minorHAnsi" w:cstheme="minorHAnsi"/>
          <w:u w:val="single"/>
        </w:rPr>
        <w:t>&lt;</w:t>
      </w:r>
      <w:r w:rsidR="00AE303B" w:rsidRPr="00AE303B">
        <w:rPr>
          <w:rFonts w:asciiTheme="minorHAnsi" w:hAnsiTheme="minorHAnsi" w:cstheme="minorHAnsi"/>
        </w:rPr>
        <w:t xml:space="preserve"> </w:t>
      </w:r>
      <w:r w:rsidR="00AE303B" w:rsidRPr="00F22F79">
        <w:rPr>
          <w:rFonts w:asciiTheme="minorHAnsi" w:hAnsiTheme="minorHAnsi" w:cstheme="minorHAnsi"/>
        </w:rPr>
        <w:t>130/80 mm Hg</w:t>
      </w:r>
      <w:r w:rsidR="00D2714B" w:rsidRPr="00F22F79">
        <w:rPr>
          <w:rFonts w:asciiTheme="minorHAnsi" w:hAnsiTheme="minorHAnsi" w:cstheme="minorHAnsi"/>
        </w:rPr>
        <w:t>.</w:t>
      </w:r>
    </w:p>
    <w:p w14:paraId="1F522735" w14:textId="48895DE8" w:rsidR="007F2C03" w:rsidRPr="00F22F79" w:rsidRDefault="007F2C03" w:rsidP="00691836">
      <w:pPr>
        <w:rPr>
          <w:rFonts w:asciiTheme="minorHAnsi" w:hAnsiTheme="minorHAnsi" w:cstheme="minorHAnsi"/>
        </w:rPr>
      </w:pPr>
      <w:r w:rsidRPr="00F22F79">
        <w:rPr>
          <w:rFonts w:asciiTheme="minorHAnsi" w:hAnsiTheme="minorHAnsi" w:cstheme="minorHAnsi"/>
        </w:rPr>
        <w:t xml:space="preserve">4. </w:t>
      </w:r>
      <w:r w:rsidR="00691836" w:rsidRPr="00F22F79">
        <w:rPr>
          <w:rFonts w:asciiTheme="minorHAnsi" w:hAnsiTheme="minorHAnsi" w:cstheme="minorHAnsi"/>
        </w:rPr>
        <w:t>Use validated automated blood pressure devices</w:t>
      </w:r>
      <w:r w:rsidR="00261202" w:rsidRPr="00F22F79">
        <w:rPr>
          <w:rFonts w:asciiTheme="minorHAnsi" w:hAnsiTheme="minorHAnsi" w:cstheme="minorHAnsi"/>
        </w:rPr>
        <w:t>, where feasible home blood pressure measurement and 24 hr ambulatory blood pressure measurement. For a systolic target &lt;120 mmHg consider automated devices that operate without an observer present and that take and average multiple readings.</w:t>
      </w:r>
      <w:r w:rsidR="00691836" w:rsidRPr="00F22F79">
        <w:rPr>
          <w:rFonts w:asciiTheme="minorHAnsi" w:hAnsiTheme="minorHAnsi" w:cstheme="minorHAnsi"/>
        </w:rPr>
        <w:t xml:space="preserve"> </w:t>
      </w:r>
    </w:p>
    <w:p w14:paraId="7F6836E9" w14:textId="4F4FF40F" w:rsidR="007F2C03" w:rsidRPr="00F22F79" w:rsidRDefault="007F2C03" w:rsidP="00691836">
      <w:pPr>
        <w:rPr>
          <w:rFonts w:asciiTheme="minorHAnsi" w:hAnsiTheme="minorHAnsi" w:cstheme="minorHAnsi"/>
        </w:rPr>
      </w:pPr>
      <w:r w:rsidRPr="00F22F79">
        <w:rPr>
          <w:rFonts w:asciiTheme="minorHAnsi" w:hAnsiTheme="minorHAnsi" w:cstheme="minorHAnsi"/>
        </w:rPr>
        <w:t xml:space="preserve">5. Use </w:t>
      </w:r>
      <w:r w:rsidR="00691836" w:rsidRPr="00F22F79">
        <w:rPr>
          <w:rFonts w:asciiTheme="minorHAnsi" w:hAnsiTheme="minorHAnsi" w:cstheme="minorHAnsi"/>
        </w:rPr>
        <w:t>standardized treatment protocols</w:t>
      </w:r>
      <w:r w:rsidR="00AE303B">
        <w:rPr>
          <w:rFonts w:asciiTheme="minorHAnsi" w:hAnsiTheme="minorHAnsi" w:cstheme="minorHAnsi"/>
        </w:rPr>
        <w:t>.</w:t>
      </w:r>
      <w:r w:rsidR="00691836" w:rsidRPr="00F22F79">
        <w:rPr>
          <w:rFonts w:asciiTheme="minorHAnsi" w:hAnsiTheme="minorHAnsi" w:cstheme="minorHAnsi"/>
        </w:rPr>
        <w:t xml:space="preserve"> </w:t>
      </w:r>
    </w:p>
    <w:p w14:paraId="2E003EA8" w14:textId="38E5B5DC" w:rsidR="00691836" w:rsidRPr="00F22F79" w:rsidRDefault="007F2C03" w:rsidP="00691836">
      <w:pPr>
        <w:rPr>
          <w:rFonts w:asciiTheme="minorHAnsi" w:hAnsiTheme="minorHAnsi" w:cstheme="minorHAnsi"/>
        </w:rPr>
      </w:pPr>
      <w:r w:rsidRPr="00F22F79">
        <w:rPr>
          <w:rFonts w:asciiTheme="minorHAnsi" w:hAnsiTheme="minorHAnsi" w:cstheme="minorHAnsi"/>
        </w:rPr>
        <w:t xml:space="preserve">6. </w:t>
      </w:r>
      <w:r w:rsidR="002C73BB" w:rsidRPr="00F22F79">
        <w:rPr>
          <w:rFonts w:asciiTheme="minorHAnsi" w:hAnsiTheme="minorHAnsi" w:cstheme="minorHAnsi"/>
        </w:rPr>
        <w:t>Use r</w:t>
      </w:r>
      <w:r w:rsidRPr="00F22F79">
        <w:rPr>
          <w:rFonts w:asciiTheme="minorHAnsi" w:hAnsiTheme="minorHAnsi" w:cstheme="minorHAnsi"/>
        </w:rPr>
        <w:t xml:space="preserve">egistries </w:t>
      </w:r>
      <w:r w:rsidR="00691836" w:rsidRPr="00F22F79">
        <w:rPr>
          <w:rFonts w:asciiTheme="minorHAnsi" w:hAnsiTheme="minorHAnsi" w:cstheme="minorHAnsi"/>
        </w:rPr>
        <w:t xml:space="preserve">with performance reporting </w:t>
      </w:r>
      <w:r w:rsidR="002C73BB" w:rsidRPr="00F22F79">
        <w:rPr>
          <w:rFonts w:asciiTheme="minorHAnsi" w:hAnsiTheme="minorHAnsi" w:cstheme="minorHAnsi"/>
        </w:rPr>
        <w:t xml:space="preserve">to </w:t>
      </w:r>
      <w:r w:rsidR="00691836" w:rsidRPr="00F22F79">
        <w:rPr>
          <w:rFonts w:asciiTheme="minorHAnsi" w:hAnsiTheme="minorHAnsi" w:cstheme="minorHAnsi"/>
        </w:rPr>
        <w:t xml:space="preserve">enhance hypertension control. </w:t>
      </w:r>
    </w:p>
    <w:p w14:paraId="25C5B73D" w14:textId="4952C3E2" w:rsidR="00F25B54" w:rsidRDefault="00F25B54" w:rsidP="00691836">
      <w:pPr>
        <w:rPr>
          <w:rFonts w:asciiTheme="minorHAnsi" w:hAnsiTheme="minorHAnsi" w:cstheme="minorHAnsi"/>
        </w:rPr>
      </w:pPr>
      <w:r w:rsidRPr="00765B0C">
        <w:rPr>
          <w:rFonts w:asciiTheme="minorHAnsi" w:hAnsiTheme="minorHAnsi" w:cstheme="minorHAnsi"/>
        </w:rPr>
        <w:t xml:space="preserve">It is critical for the federal, </w:t>
      </w:r>
      <w:proofErr w:type="gramStart"/>
      <w:r w:rsidRPr="00765B0C">
        <w:rPr>
          <w:rFonts w:asciiTheme="minorHAnsi" w:hAnsiTheme="minorHAnsi" w:cstheme="minorHAnsi"/>
        </w:rPr>
        <w:t>provincial</w:t>
      </w:r>
      <w:proofErr w:type="gramEnd"/>
      <w:r w:rsidRPr="00765B0C">
        <w:rPr>
          <w:rFonts w:asciiTheme="minorHAnsi" w:hAnsiTheme="minorHAnsi" w:cstheme="minorHAnsi"/>
        </w:rPr>
        <w:t xml:space="preserve"> and territorial government</w:t>
      </w:r>
      <w:r w:rsidR="00AE303B">
        <w:rPr>
          <w:rFonts w:asciiTheme="minorHAnsi" w:hAnsiTheme="minorHAnsi" w:cstheme="minorHAnsi"/>
        </w:rPr>
        <w:t>s</w:t>
      </w:r>
      <w:r w:rsidRPr="00765B0C">
        <w:rPr>
          <w:rFonts w:asciiTheme="minorHAnsi" w:hAnsiTheme="minorHAnsi" w:cstheme="minorHAnsi"/>
        </w:rPr>
        <w:t xml:space="preserve"> to form a strategic public health approach to the prevention and control of hypertension and to collaborate with the health </w:t>
      </w:r>
      <w:r w:rsidR="00963E30">
        <w:rPr>
          <w:rFonts w:asciiTheme="minorHAnsi" w:hAnsiTheme="minorHAnsi" w:cstheme="minorHAnsi"/>
        </w:rPr>
        <w:t xml:space="preserve">and </w:t>
      </w:r>
      <w:r w:rsidRPr="00765B0C">
        <w:rPr>
          <w:rFonts w:asciiTheme="minorHAnsi" w:hAnsiTheme="minorHAnsi" w:cstheme="minorHAnsi"/>
        </w:rPr>
        <w:t xml:space="preserve">scientific sector on monitoring and evaluation and implementation.  </w:t>
      </w:r>
    </w:p>
    <w:p w14:paraId="3A1922F6" w14:textId="6201BC38" w:rsidR="00F262EC" w:rsidRPr="00F262EC" w:rsidRDefault="00F262EC" w:rsidP="00F262EC">
      <w:pPr>
        <w:rPr>
          <w:rFonts w:asciiTheme="minorHAnsi" w:hAnsiTheme="minorHAnsi" w:cstheme="minorHAnsi"/>
          <w:b/>
          <w:bCs/>
        </w:rPr>
      </w:pPr>
      <w:r w:rsidRPr="00F262EC">
        <w:rPr>
          <w:rFonts w:asciiTheme="minorHAnsi" w:hAnsiTheme="minorHAnsi" w:cstheme="minorHAnsi"/>
          <w:b/>
          <w:bCs/>
        </w:rPr>
        <w:t>Hypertension control rate in</w:t>
      </w:r>
      <w:r w:rsidRPr="00F262EC">
        <w:rPr>
          <w:rFonts w:asciiTheme="minorHAnsi" w:hAnsiTheme="minorHAnsi" w:cstheme="minorHAnsi"/>
          <w:b/>
          <w:bCs/>
        </w:rPr>
        <w:tab/>
      </w:r>
      <w:r w:rsidR="0079146B" w:rsidRPr="00F262EC">
        <w:rPr>
          <w:rFonts w:asciiTheme="minorHAnsi" w:hAnsiTheme="minorHAnsi" w:cstheme="minorHAnsi"/>
          <w:b/>
          <w:bCs/>
        </w:rPr>
        <w:t>Canadian</w:t>
      </w:r>
      <w:r w:rsidR="0079146B">
        <w:rPr>
          <w:rFonts w:asciiTheme="minorHAnsi" w:hAnsiTheme="minorHAnsi" w:cstheme="minorHAnsi"/>
          <w:b/>
          <w:bCs/>
        </w:rPr>
        <w:t xml:space="preserve"> women</w:t>
      </w:r>
      <w:r w:rsidRPr="00F262EC">
        <w:rPr>
          <w:rFonts w:asciiTheme="minorHAnsi" w:hAnsiTheme="minorHAnsi" w:cstheme="minorHAnsi"/>
          <w:b/>
          <w:bCs/>
        </w:rPr>
        <w:tab/>
      </w:r>
      <w:r w:rsidR="0079146B">
        <w:rPr>
          <w:rFonts w:asciiTheme="minorHAnsi" w:hAnsiTheme="minorHAnsi" w:cstheme="minorHAnsi"/>
          <w:b/>
          <w:bCs/>
        </w:rPr>
        <w:tab/>
      </w:r>
      <w:r w:rsidRPr="00F262EC">
        <w:rPr>
          <w:rFonts w:asciiTheme="minorHAnsi" w:hAnsiTheme="minorHAnsi" w:cstheme="minorHAnsi"/>
          <w:b/>
          <w:bCs/>
        </w:rPr>
        <w:t>Cardiovascular death rate per 100,000</w:t>
      </w:r>
      <w:r w:rsidR="0079146B">
        <w:rPr>
          <w:rFonts w:asciiTheme="minorHAnsi" w:hAnsiTheme="minorHAnsi" w:cstheme="minorHAnsi"/>
          <w:b/>
          <w:bCs/>
        </w:rPr>
        <w:t xml:space="preserve"> in Canada</w:t>
      </w:r>
    </w:p>
    <w:p w14:paraId="5A706BAD" w14:textId="5B964B5E" w:rsidR="00691836" w:rsidRPr="00F22F79" w:rsidRDefault="00E47878" w:rsidP="00691836">
      <w:pPr>
        <w:rPr>
          <w:rFonts w:asciiTheme="minorHAnsi" w:hAnsiTheme="minorHAnsi" w:cstheme="minorHAnsi"/>
        </w:rPr>
      </w:pPr>
      <w:r w:rsidRPr="00F22F79">
        <w:rPr>
          <w:rFonts w:asciiTheme="minorHAnsi" w:hAnsiTheme="minorHAnsi" w:cstheme="minorHAnsi"/>
          <w:noProof/>
        </w:rPr>
        <w:drawing>
          <wp:inline distT="0" distB="0" distL="0" distR="0" wp14:anchorId="4215C7A9" wp14:editId="7AB346F0">
            <wp:extent cx="3162300" cy="2228850"/>
            <wp:effectExtent l="0" t="0" r="0" b="0"/>
            <wp:docPr id="3" name="Chart 3">
              <a:extLst xmlns:a="http://schemas.openxmlformats.org/drawingml/2006/main">
                <a:ext uri="{FF2B5EF4-FFF2-40B4-BE49-F238E27FC236}">
                  <a16:creationId xmlns:a16="http://schemas.microsoft.com/office/drawing/2014/main" id="{D7DF75A6-8C88-4C60-AF87-643D391D864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r w:rsidRPr="00F22F79">
        <w:rPr>
          <w:rFonts w:asciiTheme="minorHAnsi" w:hAnsiTheme="minorHAnsi" w:cstheme="minorHAnsi"/>
          <w:noProof/>
        </w:rPr>
        <w:drawing>
          <wp:inline distT="0" distB="0" distL="0" distR="0" wp14:anchorId="0264A070" wp14:editId="0C6C72B7">
            <wp:extent cx="3314700" cy="2219325"/>
            <wp:effectExtent l="0" t="0" r="0" b="9525"/>
            <wp:docPr id="5" name="Chart 5">
              <a:extLst xmlns:a="http://schemas.openxmlformats.org/drawingml/2006/main">
                <a:ext uri="{FF2B5EF4-FFF2-40B4-BE49-F238E27FC236}">
                  <a16:creationId xmlns:a16="http://schemas.microsoft.com/office/drawing/2014/main" id="{C266CD4F-E135-456A-83AC-169DFF8E499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5C805F2D" w14:textId="763EE816" w:rsidR="005201C4" w:rsidRDefault="00F262EC" w:rsidP="0079146B">
      <w:pPr>
        <w:ind w:right="2948"/>
        <w:rPr>
          <w:rFonts w:asciiTheme="minorHAnsi" w:hAnsiTheme="minorHAnsi" w:cstheme="minorHAnsi"/>
        </w:rPr>
      </w:pPr>
      <w:r w:rsidRPr="00F262EC">
        <w:rPr>
          <w:rFonts w:asciiTheme="minorHAnsi" w:hAnsiTheme="minorHAnsi" w:cstheme="minorHAnsi"/>
          <w:b/>
          <w:bCs/>
        </w:rPr>
        <w:t>Disability adjusted life years due to cardiovascular disease</w:t>
      </w:r>
      <w:r w:rsidRPr="00F262EC">
        <w:rPr>
          <w:b/>
          <w:bCs/>
          <w:noProof/>
        </w:rPr>
        <w:t xml:space="preserve"> in Canada</w:t>
      </w:r>
      <w:r>
        <w:rPr>
          <w:noProof/>
        </w:rPr>
        <w:drawing>
          <wp:inline distT="0" distB="0" distL="0" distR="0" wp14:anchorId="6A08EE03" wp14:editId="01230708">
            <wp:extent cx="3667125" cy="1905000"/>
            <wp:effectExtent l="0" t="0" r="9525" b="0"/>
            <wp:docPr id="6" name="Chart 6">
              <a:extLst xmlns:a="http://schemas.openxmlformats.org/drawingml/2006/main">
                <a:ext uri="{FF2B5EF4-FFF2-40B4-BE49-F238E27FC236}">
                  <a16:creationId xmlns:a16="http://schemas.microsoft.com/office/drawing/2014/main" id="{20CCD04C-57ED-4592-B7FB-4960BD1A10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sectPr w:rsidR="005201C4" w:rsidSect="00F262EC">
      <w:pgSz w:w="12240" w:h="15840"/>
      <w:pgMar w:top="284" w:right="720" w:bottom="28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A746EF"/>
    <w:multiLevelType w:val="hybridMultilevel"/>
    <w:tmpl w:val="E36E9408"/>
    <w:lvl w:ilvl="0" w:tplc="F3941E0E">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540" w:hanging="180"/>
      </w:pPr>
    </w:lvl>
    <w:lvl w:ilvl="3" w:tplc="0409000F" w:tentative="1">
      <w:start w:val="1"/>
      <w:numFmt w:val="decimal"/>
      <w:lvlText w:val="%4."/>
      <w:lvlJc w:val="left"/>
      <w:pPr>
        <w:ind w:left="180" w:hanging="360"/>
      </w:pPr>
    </w:lvl>
    <w:lvl w:ilvl="4" w:tplc="04090019" w:tentative="1">
      <w:start w:val="1"/>
      <w:numFmt w:val="lowerLetter"/>
      <w:lvlText w:val="%5."/>
      <w:lvlJc w:val="left"/>
      <w:pPr>
        <w:ind w:left="900" w:hanging="360"/>
      </w:pPr>
    </w:lvl>
    <w:lvl w:ilvl="5" w:tplc="0409001B" w:tentative="1">
      <w:start w:val="1"/>
      <w:numFmt w:val="lowerRoman"/>
      <w:lvlText w:val="%6."/>
      <w:lvlJc w:val="right"/>
      <w:pPr>
        <w:ind w:left="1620" w:hanging="180"/>
      </w:pPr>
    </w:lvl>
    <w:lvl w:ilvl="6" w:tplc="0409000F" w:tentative="1">
      <w:start w:val="1"/>
      <w:numFmt w:val="decimal"/>
      <w:lvlText w:val="%7."/>
      <w:lvlJc w:val="left"/>
      <w:pPr>
        <w:ind w:left="2340" w:hanging="360"/>
      </w:pPr>
    </w:lvl>
    <w:lvl w:ilvl="7" w:tplc="04090019" w:tentative="1">
      <w:start w:val="1"/>
      <w:numFmt w:val="lowerLetter"/>
      <w:lvlText w:val="%8."/>
      <w:lvlJc w:val="left"/>
      <w:pPr>
        <w:ind w:left="3060" w:hanging="360"/>
      </w:pPr>
    </w:lvl>
    <w:lvl w:ilvl="8" w:tplc="0409001B" w:tentative="1">
      <w:start w:val="1"/>
      <w:numFmt w:val="lowerRoman"/>
      <w:lvlText w:val="%9."/>
      <w:lvlJc w:val="right"/>
      <w:pPr>
        <w:ind w:left="37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AR" w:vendorID="64" w:dllVersion="0" w:nlCheck="1" w:checkStyle="0"/>
  <w:activeWritingStyle w:appName="MSWord" w:lang="en-CA" w:vendorID="64" w:dllVersion="0" w:nlCheck="1" w:checkStyle="0"/>
  <w:activeWritingStyle w:appName="MSWord" w:lang="es-PE" w:vendorID="64" w:dllVersion="0" w:nlCheck="1" w:checkStyle="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als Internal Medicin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fzap5t0p2wrcev2el5ftz5vtpwvsfs500z&quot;&gt;My EndNote Library&lt;record-ids&gt;&lt;item&gt;2584&lt;/item&gt;&lt;item&gt;6540&lt;/item&gt;&lt;item&gt;7329&lt;/item&gt;&lt;item&gt;7453&lt;/item&gt;&lt;item&gt;7563&lt;/item&gt;&lt;item&gt;7566&lt;/item&gt;&lt;item&gt;7624&lt;/item&gt;&lt;item&gt;7626&lt;/item&gt;&lt;item&gt;7627&lt;/item&gt;&lt;/record-ids&gt;&lt;/item&gt;&lt;/Libraries&gt;"/>
  </w:docVars>
  <w:rsids>
    <w:rsidRoot w:val="00691836"/>
    <w:rsid w:val="00020834"/>
    <w:rsid w:val="000319E6"/>
    <w:rsid w:val="00034226"/>
    <w:rsid w:val="000459C8"/>
    <w:rsid w:val="0006314B"/>
    <w:rsid w:val="000645F4"/>
    <w:rsid w:val="00073F44"/>
    <w:rsid w:val="00081858"/>
    <w:rsid w:val="00084617"/>
    <w:rsid w:val="00085DAD"/>
    <w:rsid w:val="000933BE"/>
    <w:rsid w:val="00096D7A"/>
    <w:rsid w:val="000E6EE6"/>
    <w:rsid w:val="0011765F"/>
    <w:rsid w:val="00144EED"/>
    <w:rsid w:val="00165446"/>
    <w:rsid w:val="00192EB5"/>
    <w:rsid w:val="001B4C18"/>
    <w:rsid w:val="001C6E05"/>
    <w:rsid w:val="001C7575"/>
    <w:rsid w:val="001D300B"/>
    <w:rsid w:val="00225090"/>
    <w:rsid w:val="00254EED"/>
    <w:rsid w:val="00261202"/>
    <w:rsid w:val="00291D43"/>
    <w:rsid w:val="002A2B36"/>
    <w:rsid w:val="002A2F83"/>
    <w:rsid w:val="002B11EF"/>
    <w:rsid w:val="002C2B37"/>
    <w:rsid w:val="002C73BB"/>
    <w:rsid w:val="002D129F"/>
    <w:rsid w:val="002D4982"/>
    <w:rsid w:val="00306024"/>
    <w:rsid w:val="00326158"/>
    <w:rsid w:val="00327C0C"/>
    <w:rsid w:val="003345DD"/>
    <w:rsid w:val="0033484F"/>
    <w:rsid w:val="00341868"/>
    <w:rsid w:val="003419C5"/>
    <w:rsid w:val="0034306B"/>
    <w:rsid w:val="00372397"/>
    <w:rsid w:val="00374F8E"/>
    <w:rsid w:val="00384F37"/>
    <w:rsid w:val="00392976"/>
    <w:rsid w:val="003A065C"/>
    <w:rsid w:val="003D50F2"/>
    <w:rsid w:val="003E6065"/>
    <w:rsid w:val="004078FB"/>
    <w:rsid w:val="00411663"/>
    <w:rsid w:val="00414347"/>
    <w:rsid w:val="004213A1"/>
    <w:rsid w:val="0048551D"/>
    <w:rsid w:val="00493D4D"/>
    <w:rsid w:val="0049725A"/>
    <w:rsid w:val="004D0DE2"/>
    <w:rsid w:val="004E2311"/>
    <w:rsid w:val="00502CA5"/>
    <w:rsid w:val="005069B9"/>
    <w:rsid w:val="005143A7"/>
    <w:rsid w:val="005201C4"/>
    <w:rsid w:val="00520821"/>
    <w:rsid w:val="005270A0"/>
    <w:rsid w:val="00530B2D"/>
    <w:rsid w:val="005446BA"/>
    <w:rsid w:val="0055472F"/>
    <w:rsid w:val="005652D0"/>
    <w:rsid w:val="005C7178"/>
    <w:rsid w:val="005D1CCE"/>
    <w:rsid w:val="005D4C47"/>
    <w:rsid w:val="005F70DA"/>
    <w:rsid w:val="00625446"/>
    <w:rsid w:val="0062690B"/>
    <w:rsid w:val="00632891"/>
    <w:rsid w:val="00637618"/>
    <w:rsid w:val="00653121"/>
    <w:rsid w:val="00683B02"/>
    <w:rsid w:val="00686255"/>
    <w:rsid w:val="00691836"/>
    <w:rsid w:val="006A28AA"/>
    <w:rsid w:val="006B0EFD"/>
    <w:rsid w:val="006B28DA"/>
    <w:rsid w:val="006B7DB0"/>
    <w:rsid w:val="006C2FFB"/>
    <w:rsid w:val="006C4581"/>
    <w:rsid w:val="006D2D30"/>
    <w:rsid w:val="006D33C1"/>
    <w:rsid w:val="006E285C"/>
    <w:rsid w:val="006F14E1"/>
    <w:rsid w:val="006F58B4"/>
    <w:rsid w:val="006F6296"/>
    <w:rsid w:val="00703FF6"/>
    <w:rsid w:val="007179D7"/>
    <w:rsid w:val="00725A10"/>
    <w:rsid w:val="00732CE4"/>
    <w:rsid w:val="00733920"/>
    <w:rsid w:val="00744E4D"/>
    <w:rsid w:val="00755723"/>
    <w:rsid w:val="00765B0C"/>
    <w:rsid w:val="0076642E"/>
    <w:rsid w:val="00776AF1"/>
    <w:rsid w:val="00781BF4"/>
    <w:rsid w:val="00783F1B"/>
    <w:rsid w:val="0079146B"/>
    <w:rsid w:val="00795476"/>
    <w:rsid w:val="007A2A4D"/>
    <w:rsid w:val="007B2110"/>
    <w:rsid w:val="007B33E1"/>
    <w:rsid w:val="007C03BE"/>
    <w:rsid w:val="007C321F"/>
    <w:rsid w:val="007C337F"/>
    <w:rsid w:val="007D64D2"/>
    <w:rsid w:val="007F2C03"/>
    <w:rsid w:val="007F41A9"/>
    <w:rsid w:val="007F5518"/>
    <w:rsid w:val="007F6E01"/>
    <w:rsid w:val="007F7066"/>
    <w:rsid w:val="008030BF"/>
    <w:rsid w:val="00832D9F"/>
    <w:rsid w:val="00881A42"/>
    <w:rsid w:val="00881E3C"/>
    <w:rsid w:val="008A1A09"/>
    <w:rsid w:val="008A5969"/>
    <w:rsid w:val="008B3404"/>
    <w:rsid w:val="008E304E"/>
    <w:rsid w:val="008F6B44"/>
    <w:rsid w:val="00904A5F"/>
    <w:rsid w:val="00905321"/>
    <w:rsid w:val="009150CE"/>
    <w:rsid w:val="009461A8"/>
    <w:rsid w:val="00946C1C"/>
    <w:rsid w:val="00950CF6"/>
    <w:rsid w:val="00961103"/>
    <w:rsid w:val="00963A26"/>
    <w:rsid w:val="00963E30"/>
    <w:rsid w:val="00966209"/>
    <w:rsid w:val="00975C51"/>
    <w:rsid w:val="00987CBF"/>
    <w:rsid w:val="00992A3C"/>
    <w:rsid w:val="009B2AFE"/>
    <w:rsid w:val="009C2CA0"/>
    <w:rsid w:val="009F664B"/>
    <w:rsid w:val="00A414A6"/>
    <w:rsid w:val="00A47603"/>
    <w:rsid w:val="00A57DDB"/>
    <w:rsid w:val="00A60B64"/>
    <w:rsid w:val="00A6493E"/>
    <w:rsid w:val="00A75712"/>
    <w:rsid w:val="00AA6E56"/>
    <w:rsid w:val="00AC18D7"/>
    <w:rsid w:val="00AC6DC3"/>
    <w:rsid w:val="00AD2BC5"/>
    <w:rsid w:val="00AE0D17"/>
    <w:rsid w:val="00AE303B"/>
    <w:rsid w:val="00B5155D"/>
    <w:rsid w:val="00B51840"/>
    <w:rsid w:val="00B540C1"/>
    <w:rsid w:val="00B56A94"/>
    <w:rsid w:val="00B95AE7"/>
    <w:rsid w:val="00B9701C"/>
    <w:rsid w:val="00BB2F74"/>
    <w:rsid w:val="00BB3925"/>
    <w:rsid w:val="00BC67FF"/>
    <w:rsid w:val="00BD6F24"/>
    <w:rsid w:val="00BD72A1"/>
    <w:rsid w:val="00BF728C"/>
    <w:rsid w:val="00BF7A51"/>
    <w:rsid w:val="00C02287"/>
    <w:rsid w:val="00C03CFD"/>
    <w:rsid w:val="00C03E11"/>
    <w:rsid w:val="00C2001D"/>
    <w:rsid w:val="00C22AEC"/>
    <w:rsid w:val="00C719B2"/>
    <w:rsid w:val="00C754BA"/>
    <w:rsid w:val="00C8030F"/>
    <w:rsid w:val="00CA7D38"/>
    <w:rsid w:val="00CB135A"/>
    <w:rsid w:val="00D10878"/>
    <w:rsid w:val="00D2714B"/>
    <w:rsid w:val="00D47B8D"/>
    <w:rsid w:val="00D51EBE"/>
    <w:rsid w:val="00D57FDB"/>
    <w:rsid w:val="00D74A62"/>
    <w:rsid w:val="00D770ED"/>
    <w:rsid w:val="00D8218D"/>
    <w:rsid w:val="00D83F83"/>
    <w:rsid w:val="00DC1C79"/>
    <w:rsid w:val="00DD56EF"/>
    <w:rsid w:val="00E00B9C"/>
    <w:rsid w:val="00E01F3F"/>
    <w:rsid w:val="00E118A5"/>
    <w:rsid w:val="00E172A2"/>
    <w:rsid w:val="00E4023A"/>
    <w:rsid w:val="00E47878"/>
    <w:rsid w:val="00E52EFC"/>
    <w:rsid w:val="00E64C93"/>
    <w:rsid w:val="00E947F3"/>
    <w:rsid w:val="00EA1E17"/>
    <w:rsid w:val="00EB272D"/>
    <w:rsid w:val="00F10A38"/>
    <w:rsid w:val="00F22F79"/>
    <w:rsid w:val="00F25376"/>
    <w:rsid w:val="00F25B54"/>
    <w:rsid w:val="00F262EC"/>
    <w:rsid w:val="00F5419D"/>
    <w:rsid w:val="00F567B8"/>
    <w:rsid w:val="00F64B35"/>
    <w:rsid w:val="00F84076"/>
    <w:rsid w:val="00F860EE"/>
    <w:rsid w:val="00F97ED6"/>
    <w:rsid w:val="00FB238A"/>
    <w:rsid w:val="00FD3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B414FB"/>
  <w15:docId w15:val="{FA853401-2D56-4270-A976-33F44F9C5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1836"/>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1836"/>
    <w:rPr>
      <w:color w:val="0000FF"/>
      <w:u w:val="single"/>
    </w:rPr>
  </w:style>
  <w:style w:type="character" w:styleId="CommentReference">
    <w:name w:val="annotation reference"/>
    <w:basedOn w:val="DefaultParagraphFont"/>
    <w:uiPriority w:val="99"/>
    <w:semiHidden/>
    <w:unhideWhenUsed/>
    <w:rsid w:val="00B540C1"/>
    <w:rPr>
      <w:sz w:val="16"/>
      <w:szCs w:val="16"/>
    </w:rPr>
  </w:style>
  <w:style w:type="paragraph" w:styleId="CommentText">
    <w:name w:val="annotation text"/>
    <w:basedOn w:val="Normal"/>
    <w:link w:val="CommentTextChar"/>
    <w:uiPriority w:val="99"/>
    <w:semiHidden/>
    <w:unhideWhenUsed/>
    <w:rsid w:val="00B540C1"/>
    <w:rPr>
      <w:sz w:val="20"/>
      <w:szCs w:val="20"/>
    </w:rPr>
  </w:style>
  <w:style w:type="character" w:customStyle="1" w:styleId="CommentTextChar">
    <w:name w:val="Comment Text Char"/>
    <w:basedOn w:val="DefaultParagraphFont"/>
    <w:link w:val="CommentText"/>
    <w:uiPriority w:val="99"/>
    <w:semiHidden/>
    <w:rsid w:val="00B540C1"/>
    <w:rPr>
      <w:sz w:val="20"/>
      <w:szCs w:val="20"/>
    </w:rPr>
  </w:style>
  <w:style w:type="paragraph" w:styleId="CommentSubject">
    <w:name w:val="annotation subject"/>
    <w:basedOn w:val="CommentText"/>
    <w:next w:val="CommentText"/>
    <w:link w:val="CommentSubjectChar"/>
    <w:uiPriority w:val="99"/>
    <w:semiHidden/>
    <w:unhideWhenUsed/>
    <w:rsid w:val="00B540C1"/>
    <w:rPr>
      <w:bCs/>
    </w:rPr>
  </w:style>
  <w:style w:type="character" w:customStyle="1" w:styleId="CommentSubjectChar">
    <w:name w:val="Comment Subject Char"/>
    <w:basedOn w:val="CommentTextChar"/>
    <w:link w:val="CommentSubject"/>
    <w:uiPriority w:val="99"/>
    <w:semiHidden/>
    <w:rsid w:val="00B540C1"/>
    <w:rPr>
      <w:bCs/>
      <w:sz w:val="20"/>
      <w:szCs w:val="20"/>
    </w:rPr>
  </w:style>
  <w:style w:type="paragraph" w:styleId="BalloonText">
    <w:name w:val="Balloon Text"/>
    <w:basedOn w:val="Normal"/>
    <w:link w:val="BalloonTextChar"/>
    <w:uiPriority w:val="99"/>
    <w:semiHidden/>
    <w:unhideWhenUsed/>
    <w:rsid w:val="00B540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0C1"/>
    <w:rPr>
      <w:rFonts w:ascii="Segoe UI" w:hAnsi="Segoe UI" w:cs="Segoe UI"/>
      <w:sz w:val="18"/>
      <w:szCs w:val="18"/>
    </w:rPr>
  </w:style>
  <w:style w:type="paragraph" w:styleId="ListParagraph">
    <w:name w:val="List Paragraph"/>
    <w:basedOn w:val="Normal"/>
    <w:uiPriority w:val="34"/>
    <w:qFormat/>
    <w:rsid w:val="00392976"/>
    <w:pPr>
      <w:spacing w:after="200" w:line="276" w:lineRule="auto"/>
      <w:ind w:left="720"/>
      <w:contextualSpacing/>
    </w:pPr>
    <w:rPr>
      <w:rFonts w:ascii="Calibri" w:eastAsia="Times New Roman" w:hAnsi="Calibri" w:cs="Times New Roman"/>
      <w:b/>
      <w:sz w:val="22"/>
      <w:szCs w:val="22"/>
    </w:rPr>
  </w:style>
  <w:style w:type="paragraph" w:styleId="Revision">
    <w:name w:val="Revision"/>
    <w:hidden/>
    <w:uiPriority w:val="99"/>
    <w:semiHidden/>
    <w:rsid w:val="00946C1C"/>
  </w:style>
  <w:style w:type="paragraph" w:customStyle="1" w:styleId="EndNoteBibliographyTitle">
    <w:name w:val="EndNote Bibliography Title"/>
    <w:basedOn w:val="Normal"/>
    <w:link w:val="EndNoteBibliographyTitleChar"/>
    <w:rsid w:val="005446BA"/>
    <w:pPr>
      <w:jc w:val="center"/>
    </w:pPr>
    <w:rPr>
      <w:noProof/>
    </w:rPr>
  </w:style>
  <w:style w:type="character" w:customStyle="1" w:styleId="EndNoteBibliographyTitleChar">
    <w:name w:val="EndNote Bibliography Title Char"/>
    <w:basedOn w:val="DefaultParagraphFont"/>
    <w:link w:val="EndNoteBibliographyTitle"/>
    <w:rsid w:val="005446BA"/>
    <w:rPr>
      <w:noProof/>
      <w:lang w:val="en-CA"/>
    </w:rPr>
  </w:style>
  <w:style w:type="paragraph" w:customStyle="1" w:styleId="EndNoteBibliography">
    <w:name w:val="EndNote Bibliography"/>
    <w:basedOn w:val="Normal"/>
    <w:link w:val="EndNoteBibliographyChar"/>
    <w:rsid w:val="005446BA"/>
    <w:rPr>
      <w:noProof/>
    </w:rPr>
  </w:style>
  <w:style w:type="character" w:customStyle="1" w:styleId="EndNoteBibliographyChar">
    <w:name w:val="EndNote Bibliography Char"/>
    <w:basedOn w:val="DefaultParagraphFont"/>
    <w:link w:val="EndNoteBibliography"/>
    <w:rsid w:val="005446BA"/>
    <w:rPr>
      <w:noProof/>
      <w:lang w:val="en-CA"/>
    </w:rPr>
  </w:style>
  <w:style w:type="character" w:styleId="UnresolvedMention">
    <w:name w:val="Unresolved Mention"/>
    <w:basedOn w:val="DefaultParagraphFont"/>
    <w:uiPriority w:val="99"/>
    <w:semiHidden/>
    <w:unhideWhenUsed/>
    <w:rsid w:val="005446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I:\0%20shared\0%20aaaaTODO\Manuscripts\Hypertension%20control%20in%20older%20women\CVD%20deaths%20in%20Canada%20per%20100,000.csv"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I:\0%20shared\0%20aaaaTODO\Manuscripts\Hypertension%20control%20in%20older%20women\CVD%20deaths%20in%20Canada.csv"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884533250547983"/>
          <c:y val="4.5306336707911517E-2"/>
          <c:w val="0.76457088025287157"/>
          <c:h val="0.6300457690722544"/>
        </c:manualLayout>
      </c:layout>
      <c:lineChart>
        <c:grouping val="standard"/>
        <c:varyColors val="0"/>
        <c:ser>
          <c:idx val="2"/>
          <c:order val="0"/>
          <c:tx>
            <c:strRef>
              <c:f>Sheet1!$A$4</c:f>
              <c:strCache>
                <c:ptCount val="1"/>
                <c:pt idx="0">
                  <c:v>control</c:v>
                </c:pt>
              </c:strCache>
            </c:strRef>
          </c:tx>
          <c:spPr>
            <a:ln w="28575" cap="rnd">
              <a:solidFill>
                <a:schemeClr val="tx1"/>
              </a:solidFill>
              <a:prstDash val="sysDot"/>
              <a:round/>
            </a:ln>
            <a:effectLst/>
          </c:spPr>
          <c:marker>
            <c:symbol val="none"/>
          </c:marker>
          <c:cat>
            <c:strRef>
              <c:f>Sheet1!$B$1:$F$1</c:f>
              <c:strCache>
                <c:ptCount val="5"/>
                <c:pt idx="0">
                  <c:v>2007-9</c:v>
                </c:pt>
                <c:pt idx="1">
                  <c:v>2010-2011</c:v>
                </c:pt>
                <c:pt idx="2">
                  <c:v>2012-2013</c:v>
                </c:pt>
                <c:pt idx="3">
                  <c:v>2014-2015</c:v>
                </c:pt>
                <c:pt idx="4">
                  <c:v>2016-2017</c:v>
                </c:pt>
              </c:strCache>
            </c:strRef>
          </c:cat>
          <c:val>
            <c:numRef>
              <c:f>Sheet1!$B$4:$F$4</c:f>
              <c:numCache>
                <c:formatCode>General</c:formatCode>
                <c:ptCount val="5"/>
                <c:pt idx="0">
                  <c:v>76.900000000000006</c:v>
                </c:pt>
                <c:pt idx="1">
                  <c:v>69</c:v>
                </c:pt>
                <c:pt idx="2">
                  <c:v>68.900000000000006</c:v>
                </c:pt>
                <c:pt idx="3">
                  <c:v>62.4</c:v>
                </c:pt>
                <c:pt idx="4">
                  <c:v>49.2</c:v>
                </c:pt>
              </c:numCache>
            </c:numRef>
          </c:val>
          <c:smooth val="0"/>
          <c:extLst>
            <c:ext xmlns:c16="http://schemas.microsoft.com/office/drawing/2014/chart" uri="{C3380CC4-5D6E-409C-BE32-E72D297353CC}">
              <c16:uniqueId val="{00000000-EA15-42A4-A452-A134F3B80AB9}"/>
            </c:ext>
          </c:extLst>
        </c:ser>
        <c:dLbls>
          <c:showLegendKey val="0"/>
          <c:showVal val="0"/>
          <c:showCatName val="0"/>
          <c:showSerName val="0"/>
          <c:showPercent val="0"/>
          <c:showBubbleSize val="0"/>
        </c:dLbls>
        <c:smooth val="0"/>
        <c:axId val="315483288"/>
        <c:axId val="315478696"/>
        <c:extLst>
          <c:ext xmlns:c15="http://schemas.microsoft.com/office/drawing/2012/chart" uri="{02D57815-91ED-43cb-92C2-25804820EDAC}">
            <c15:filteredLineSeries>
              <c15:ser>
                <c:idx val="3"/>
                <c:order val="1"/>
                <c:tx>
                  <c:strRef>
                    <c:extLst>
                      <c:ext uri="{02D57815-91ED-43cb-92C2-25804820EDAC}">
                        <c15:formulaRef>
                          <c15:sqref>Sheet1!$A$5</c15:sqref>
                        </c15:formulaRef>
                      </c:ext>
                    </c:extLst>
                    <c:strCache>
                      <c:ptCount val="1"/>
                    </c:strCache>
                  </c:strRef>
                </c:tx>
                <c:spPr>
                  <a:ln w="28575" cap="rnd">
                    <a:solidFill>
                      <a:schemeClr val="accent4"/>
                    </a:solidFill>
                    <a:round/>
                  </a:ln>
                  <a:effectLst/>
                </c:spPr>
                <c:marker>
                  <c:symbol val="none"/>
                </c:marker>
                <c:cat>
                  <c:strRef>
                    <c:extLst>
                      <c:ext uri="{02D57815-91ED-43cb-92C2-25804820EDAC}">
                        <c15:formulaRef>
                          <c15:sqref>Sheet1!$B$1:$F$1</c15:sqref>
                        </c15:formulaRef>
                      </c:ext>
                    </c:extLst>
                    <c:strCache>
                      <c:ptCount val="5"/>
                      <c:pt idx="0">
                        <c:v>2007-9</c:v>
                      </c:pt>
                      <c:pt idx="1">
                        <c:v>2010-2011</c:v>
                      </c:pt>
                      <c:pt idx="2">
                        <c:v>2012-2013</c:v>
                      </c:pt>
                      <c:pt idx="3">
                        <c:v>2014-2015</c:v>
                      </c:pt>
                      <c:pt idx="4">
                        <c:v>2016-2017</c:v>
                      </c:pt>
                    </c:strCache>
                  </c:strRef>
                </c:cat>
                <c:val>
                  <c:numRef>
                    <c:extLst>
                      <c:ext uri="{02D57815-91ED-43cb-92C2-25804820EDAC}">
                        <c15:formulaRef>
                          <c15:sqref>Sheet1!$B$5:$F$5</c15:sqref>
                        </c15:formulaRef>
                      </c:ext>
                    </c:extLst>
                    <c:numCache>
                      <c:formatCode>General</c:formatCode>
                      <c:ptCount val="5"/>
                    </c:numCache>
                  </c:numRef>
                </c:val>
                <c:smooth val="0"/>
                <c:extLst>
                  <c:ext xmlns:c16="http://schemas.microsoft.com/office/drawing/2014/chart" uri="{C3380CC4-5D6E-409C-BE32-E72D297353CC}">
                    <c16:uniqueId val="{00000001-EA15-42A4-A452-A134F3B80AB9}"/>
                  </c:ext>
                </c:extLst>
              </c15:ser>
            </c15:filteredLineSeries>
          </c:ext>
        </c:extLst>
      </c:lineChart>
      <c:catAx>
        <c:axId val="315483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15478696"/>
        <c:crosses val="autoZero"/>
        <c:auto val="1"/>
        <c:lblAlgn val="ctr"/>
        <c:lblOffset val="100"/>
        <c:noMultiLvlLbl val="0"/>
      </c:catAx>
      <c:valAx>
        <c:axId val="315478696"/>
        <c:scaling>
          <c:orientation val="minMax"/>
          <c:min val="4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r>
                  <a:rPr lang="en-US" sz="1400" b="1"/>
                  <a:t>Percent</a:t>
                </a:r>
              </a:p>
            </c:rich>
          </c:tx>
          <c:overlay val="0"/>
          <c:spPr>
            <a:noFill/>
            <a:ln>
              <a:noFill/>
            </a:ln>
            <a:effectLst/>
          </c:spPr>
          <c:txPr>
            <a:bodyPr rot="-5400000" spcFirstLastPara="1" vertOverflow="ellipsis" vert="horz" wrap="square" anchor="ctr" anchorCtr="1"/>
            <a:lstStyle/>
            <a:p>
              <a:pPr>
                <a:defRPr sz="14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15483288"/>
        <c:crosses val="autoZero"/>
        <c:crossBetween val="between"/>
        <c:majorUnit val="15"/>
      </c:valAx>
      <c:spPr>
        <a:noFill/>
        <a:ln>
          <a:noFill/>
        </a:ln>
        <a:effectLst/>
      </c:spPr>
    </c:plotArea>
    <c:legend>
      <c:legendPos val="b"/>
      <c:layout>
        <c:manualLayout>
          <c:xMode val="edge"/>
          <c:yMode val="edge"/>
          <c:x val="0.11322138496128845"/>
          <c:y val="0.54092195618404837"/>
          <c:w val="0.86212646850877972"/>
          <c:h val="7.8125546806649182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200"/>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762792808793638"/>
          <c:y val="2.9963684993255781E-2"/>
          <c:w val="0.71940204842815703"/>
          <c:h val="0.72225042990315869"/>
        </c:manualLayout>
      </c:layout>
      <c:lineChart>
        <c:grouping val="standard"/>
        <c:varyColors val="0"/>
        <c:ser>
          <c:idx val="0"/>
          <c:order val="0"/>
          <c:tx>
            <c:v>cardiovascular disease</c:v>
          </c:tx>
          <c:spPr>
            <a:ln w="28575" cap="rnd">
              <a:solidFill>
                <a:sysClr val="windowText" lastClr="000000"/>
              </a:solidFill>
              <a:round/>
            </a:ln>
            <a:effectLst/>
          </c:spPr>
          <c:marker>
            <c:symbol val="none"/>
          </c:marker>
          <c:cat>
            <c:numRef>
              <c:f>'CVD deaths in Canada per 100,00'!$F$2:$F$29</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'CVD deaths in Canada per 100,00'!$G$2:$G$29</c:f>
              <c:numCache>
                <c:formatCode>General</c:formatCode>
                <c:ptCount val="28"/>
                <c:pt idx="0">
                  <c:v>268.6292287</c:v>
                </c:pt>
                <c:pt idx="1">
                  <c:v>264.41345510000002</c:v>
                </c:pt>
                <c:pt idx="2">
                  <c:v>262.09683999999999</c:v>
                </c:pt>
                <c:pt idx="3">
                  <c:v>263.92038919999999</c:v>
                </c:pt>
                <c:pt idx="4">
                  <c:v>262.48403939999997</c:v>
                </c:pt>
                <c:pt idx="5">
                  <c:v>263.23071670000002</c:v>
                </c:pt>
                <c:pt idx="6">
                  <c:v>261.51959299999999</c:v>
                </c:pt>
                <c:pt idx="7">
                  <c:v>258.75650439999998</c:v>
                </c:pt>
                <c:pt idx="8">
                  <c:v>256.85879360000001</c:v>
                </c:pt>
                <c:pt idx="9">
                  <c:v>253.3092049</c:v>
                </c:pt>
                <c:pt idx="10">
                  <c:v>247.8181021</c:v>
                </c:pt>
                <c:pt idx="11">
                  <c:v>243.1325995</c:v>
                </c:pt>
                <c:pt idx="12">
                  <c:v>240.6558842</c:v>
                </c:pt>
                <c:pt idx="13">
                  <c:v>237.52302929999999</c:v>
                </c:pt>
                <c:pt idx="14">
                  <c:v>230.51695720000001</c:v>
                </c:pt>
                <c:pt idx="15">
                  <c:v>226.97655940000001</c:v>
                </c:pt>
                <c:pt idx="16">
                  <c:v>220.14958720000001</c:v>
                </c:pt>
                <c:pt idx="17">
                  <c:v>219.69791979999999</c:v>
                </c:pt>
                <c:pt idx="18">
                  <c:v>218.0291723</c:v>
                </c:pt>
                <c:pt idx="19">
                  <c:v>212.73136310000001</c:v>
                </c:pt>
                <c:pt idx="20">
                  <c:v>207.3318179</c:v>
                </c:pt>
                <c:pt idx="21">
                  <c:v>204.1886848</c:v>
                </c:pt>
                <c:pt idx="22">
                  <c:v>206.7542962</c:v>
                </c:pt>
                <c:pt idx="23">
                  <c:v>204.6617124</c:v>
                </c:pt>
                <c:pt idx="24">
                  <c:v>211.45185499999999</c:v>
                </c:pt>
                <c:pt idx="25">
                  <c:v>217.7706953</c:v>
                </c:pt>
                <c:pt idx="26">
                  <c:v>220.28350459999999</c:v>
                </c:pt>
                <c:pt idx="27">
                  <c:v>224.65576970000001</c:v>
                </c:pt>
              </c:numCache>
            </c:numRef>
          </c:val>
          <c:smooth val="0"/>
          <c:extLst>
            <c:ext xmlns:c16="http://schemas.microsoft.com/office/drawing/2014/chart" uri="{C3380CC4-5D6E-409C-BE32-E72D297353CC}">
              <c16:uniqueId val="{00000000-BC1D-40D3-AFB8-632B3142D1A2}"/>
            </c:ext>
          </c:extLst>
        </c:ser>
        <c:dLbls>
          <c:showLegendKey val="0"/>
          <c:showVal val="0"/>
          <c:showCatName val="0"/>
          <c:showSerName val="0"/>
          <c:showPercent val="0"/>
          <c:showBubbleSize val="0"/>
        </c:dLbls>
        <c:smooth val="0"/>
        <c:axId val="538130288"/>
        <c:axId val="536099272"/>
      </c:lineChart>
      <c:catAx>
        <c:axId val="538130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536099272"/>
        <c:crosses val="autoZero"/>
        <c:auto val="1"/>
        <c:lblAlgn val="ctr"/>
        <c:lblOffset val="100"/>
        <c:noMultiLvlLbl val="0"/>
      </c:catAx>
      <c:valAx>
        <c:axId val="536099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r>
                  <a:rPr lang="en-US" sz="1400">
                    <a:solidFill>
                      <a:sysClr val="windowText" lastClr="000000"/>
                    </a:solidFill>
                  </a:rPr>
                  <a:t>Death rate </a:t>
                </a:r>
              </a:p>
            </c:rich>
          </c:tx>
          <c:layout>
            <c:manualLayout>
              <c:xMode val="edge"/>
              <c:yMode val="edge"/>
              <c:x val="1.9035778422434042E-2"/>
              <c:y val="0.14184353821443962"/>
            </c:manualLayout>
          </c:layout>
          <c:overlay val="0"/>
          <c:spPr>
            <a:noFill/>
            <a:ln>
              <a:noFill/>
            </a:ln>
            <a:effectLst/>
          </c:spPr>
          <c:txPr>
            <a:bodyPr rot="-54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8130288"/>
        <c:crosses val="autoZero"/>
        <c:crossBetween val="between"/>
        <c:majorUnit val="100"/>
      </c:valAx>
      <c:spPr>
        <a:noFill/>
        <a:ln>
          <a:noFill/>
        </a:ln>
        <a:effectLst/>
      </c:spPr>
    </c:plotArea>
    <c:legend>
      <c:legendPos val="t"/>
      <c:layout>
        <c:manualLayout>
          <c:xMode val="edge"/>
          <c:yMode val="edge"/>
          <c:x val="0.19850926528920726"/>
          <c:y val="0.34162520729684909"/>
          <c:w val="0.73104759542852427"/>
          <c:h val="0.18533317663650256"/>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bg2"/>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5436475845924664"/>
          <c:y val="9.7257977887899152E-2"/>
          <c:w val="0.58986138894800322"/>
          <c:h val="0.74955039710945226"/>
        </c:manualLayout>
      </c:layout>
      <c:lineChart>
        <c:grouping val="standard"/>
        <c:varyColors val="0"/>
        <c:ser>
          <c:idx val="1"/>
          <c:order val="0"/>
          <c:tx>
            <c:v>Cardiovascular disease</c:v>
          </c:tx>
          <c:spPr>
            <a:ln w="28575" cap="rnd">
              <a:solidFill>
                <a:schemeClr val="accent2"/>
              </a:solidFill>
              <a:round/>
            </a:ln>
            <a:effectLst/>
          </c:spPr>
          <c:marker>
            <c:symbol val="none"/>
          </c:marker>
          <c:cat>
            <c:numRef>
              <c:f>'CVD deaths in Canada'!$B$38:$B$65</c:f>
              <c:numCache>
                <c:formatCode>General</c:formatCode>
                <c:ptCount val="28"/>
                <c:pt idx="0">
                  <c:v>1990</c:v>
                </c:pt>
                <c:pt idx="1">
                  <c:v>1991</c:v>
                </c:pt>
                <c:pt idx="2">
                  <c:v>1992</c:v>
                </c:pt>
                <c:pt idx="3">
                  <c:v>1993</c:v>
                </c:pt>
                <c:pt idx="4">
                  <c:v>1994</c:v>
                </c:pt>
                <c:pt idx="5">
                  <c:v>1995</c:v>
                </c:pt>
                <c:pt idx="6">
                  <c:v>1996</c:v>
                </c:pt>
                <c:pt idx="7">
                  <c:v>1997</c:v>
                </c:pt>
                <c:pt idx="8">
                  <c:v>1998</c:v>
                </c:pt>
                <c:pt idx="9">
                  <c:v>1999</c:v>
                </c:pt>
                <c:pt idx="10">
                  <c:v>2000</c:v>
                </c:pt>
                <c:pt idx="11">
                  <c:v>2001</c:v>
                </c:pt>
                <c:pt idx="12">
                  <c:v>2002</c:v>
                </c:pt>
                <c:pt idx="13">
                  <c:v>2003</c:v>
                </c:pt>
                <c:pt idx="14">
                  <c:v>2004</c:v>
                </c:pt>
                <c:pt idx="15">
                  <c:v>2005</c:v>
                </c:pt>
                <c:pt idx="16">
                  <c:v>2006</c:v>
                </c:pt>
                <c:pt idx="17">
                  <c:v>2007</c:v>
                </c:pt>
                <c:pt idx="18">
                  <c:v>2008</c:v>
                </c:pt>
                <c:pt idx="19">
                  <c:v>2009</c:v>
                </c:pt>
                <c:pt idx="20">
                  <c:v>2010</c:v>
                </c:pt>
                <c:pt idx="21">
                  <c:v>2011</c:v>
                </c:pt>
                <c:pt idx="22">
                  <c:v>2012</c:v>
                </c:pt>
                <c:pt idx="23">
                  <c:v>2013</c:v>
                </c:pt>
                <c:pt idx="24">
                  <c:v>2014</c:v>
                </c:pt>
                <c:pt idx="25">
                  <c:v>2015</c:v>
                </c:pt>
                <c:pt idx="26">
                  <c:v>2016</c:v>
                </c:pt>
                <c:pt idx="27">
                  <c:v>2017</c:v>
                </c:pt>
              </c:numCache>
            </c:numRef>
          </c:cat>
          <c:val>
            <c:numRef>
              <c:f>'CVD deaths in Canada'!$G$73:$G$100</c:f>
              <c:numCache>
                <c:formatCode>General</c:formatCode>
                <c:ptCount val="28"/>
                <c:pt idx="0">
                  <c:v>1311919.5279999999</c:v>
                </c:pt>
                <c:pt idx="1">
                  <c:v>1299664.2339999999</c:v>
                </c:pt>
                <c:pt idx="2">
                  <c:v>1296762.1939999999</c:v>
                </c:pt>
                <c:pt idx="3">
                  <c:v>1312660.0870000001</c:v>
                </c:pt>
                <c:pt idx="4">
                  <c:v>1308287.736</c:v>
                </c:pt>
                <c:pt idx="5">
                  <c:v>1314246.3049999999</c:v>
                </c:pt>
                <c:pt idx="6">
                  <c:v>1306809.399</c:v>
                </c:pt>
                <c:pt idx="7">
                  <c:v>1294835.4850000001</c:v>
                </c:pt>
                <c:pt idx="8">
                  <c:v>1282645.4040000001</c:v>
                </c:pt>
                <c:pt idx="9">
                  <c:v>1270094.8470000001</c:v>
                </c:pt>
                <c:pt idx="10">
                  <c:v>1246616.1029999999</c:v>
                </c:pt>
                <c:pt idx="11">
                  <c:v>1229384.01</c:v>
                </c:pt>
                <c:pt idx="12">
                  <c:v>1220420.9820000001</c:v>
                </c:pt>
                <c:pt idx="13">
                  <c:v>1214472.9129999999</c:v>
                </c:pt>
                <c:pt idx="14">
                  <c:v>1187787.2679999999</c:v>
                </c:pt>
                <c:pt idx="15">
                  <c:v>1180322.1100000001</c:v>
                </c:pt>
                <c:pt idx="16">
                  <c:v>1154783.32</c:v>
                </c:pt>
                <c:pt idx="17">
                  <c:v>1164449.48</c:v>
                </c:pt>
                <c:pt idx="18">
                  <c:v>1165205.909</c:v>
                </c:pt>
                <c:pt idx="19">
                  <c:v>1150327.395</c:v>
                </c:pt>
                <c:pt idx="20">
                  <c:v>1132001.58</c:v>
                </c:pt>
                <c:pt idx="21">
                  <c:v>1123051.3759999999</c:v>
                </c:pt>
                <c:pt idx="22">
                  <c:v>1148314.8189999999</c:v>
                </c:pt>
                <c:pt idx="23">
                  <c:v>1152293.8230000001</c:v>
                </c:pt>
                <c:pt idx="24">
                  <c:v>1203654.798</c:v>
                </c:pt>
                <c:pt idx="25">
                  <c:v>1243927.125</c:v>
                </c:pt>
                <c:pt idx="26">
                  <c:v>1259054.0020000001</c:v>
                </c:pt>
                <c:pt idx="27">
                  <c:v>1285870.882</c:v>
                </c:pt>
              </c:numCache>
            </c:numRef>
          </c:val>
          <c:smooth val="0"/>
          <c:extLst>
            <c:ext xmlns:c16="http://schemas.microsoft.com/office/drawing/2014/chart" uri="{C3380CC4-5D6E-409C-BE32-E72D297353CC}">
              <c16:uniqueId val="{00000000-817E-471A-88C9-40F0ACDAD6FC}"/>
            </c:ext>
          </c:extLst>
        </c:ser>
        <c:dLbls>
          <c:showLegendKey val="0"/>
          <c:showVal val="0"/>
          <c:showCatName val="0"/>
          <c:showSerName val="0"/>
          <c:showPercent val="0"/>
          <c:showBubbleSize val="0"/>
        </c:dLbls>
        <c:smooth val="0"/>
        <c:axId val="607518704"/>
        <c:axId val="607527560"/>
      </c:lineChart>
      <c:catAx>
        <c:axId val="607518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07527560"/>
        <c:crosses val="autoZero"/>
        <c:auto val="1"/>
        <c:lblAlgn val="ctr"/>
        <c:lblOffset val="100"/>
        <c:tickLblSkip val="4"/>
        <c:noMultiLvlLbl val="0"/>
      </c:catAx>
      <c:valAx>
        <c:axId val="6075275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r>
                  <a:rPr lang="en-US" sz="1300"/>
                  <a:t>Disability-adjusted life years </a:t>
                </a:r>
              </a:p>
            </c:rich>
          </c:tx>
          <c:layout>
            <c:manualLayout>
              <c:xMode val="edge"/>
              <c:yMode val="edge"/>
              <c:x val="4.607533517769738E-2"/>
              <c:y val="8.8852587456418691E-2"/>
            </c:manualLayout>
          </c:layout>
          <c:overlay val="0"/>
          <c:spPr>
            <a:noFill/>
            <a:ln>
              <a:noFill/>
            </a:ln>
            <a:effectLst/>
          </c:spPr>
          <c:txPr>
            <a:bodyPr rot="-5400000" spcFirstLastPara="1" vertOverflow="ellipsis" vert="horz" wrap="square" anchor="ctr" anchorCtr="1"/>
            <a:lstStyle/>
            <a:p>
              <a:pPr>
                <a:defRPr sz="13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crossAx val="607518704"/>
        <c:crosses val="autoZero"/>
        <c:crossBetween val="between"/>
      </c:valAx>
      <c:spPr>
        <a:noFill/>
        <a:ln>
          <a:noFill/>
        </a:ln>
        <a:effectLst/>
      </c:spPr>
    </c:plotArea>
    <c:legend>
      <c:legendPos val="b"/>
      <c:layout>
        <c:manualLayout>
          <c:xMode val="edge"/>
          <c:yMode val="edge"/>
          <c:x val="0.40010270455323521"/>
          <c:y val="0.70246702286000573"/>
          <c:w val="0.531057204805921"/>
          <c:h val="6.5312473715198924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380</Words>
  <Characters>2169</Characters>
  <Application>Microsoft Office Word</Application>
  <DocSecurity>0</DocSecurity>
  <Lines>18</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R.C. Campbell</dc:creator>
  <cp:keywords/>
  <dc:description/>
  <cp:lastModifiedBy>Norman R.C. Campbell</cp:lastModifiedBy>
  <cp:revision>8</cp:revision>
  <dcterms:created xsi:type="dcterms:W3CDTF">2020-05-20T14:29:00Z</dcterms:created>
  <dcterms:modified xsi:type="dcterms:W3CDTF">2020-06-30T20:47:00Z</dcterms:modified>
</cp:coreProperties>
</file>